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0AB1" w14:textId="7F0A747A" w:rsidR="00770D05" w:rsidRDefault="00770D05" w:rsidP="0025461B">
      <w:pPr>
        <w:ind w:right="-57"/>
        <w:rPr>
          <w:rFonts w:ascii="Arial" w:hAnsi="Arial" w:cs="Arial"/>
          <w:b/>
          <w:bCs/>
          <w:noProof/>
          <w:color w:val="001689"/>
        </w:rPr>
      </w:pPr>
    </w:p>
    <w:p w14:paraId="2B120CC9" w14:textId="77777777" w:rsidR="00DE502B" w:rsidRDefault="00DE502B" w:rsidP="0025461B">
      <w:pPr>
        <w:ind w:right="-57"/>
        <w:rPr>
          <w:rFonts w:ascii="Arial" w:hAnsi="Arial" w:cs="Arial"/>
          <w:b/>
          <w:bCs/>
          <w:noProof/>
          <w:color w:val="001689"/>
        </w:rPr>
      </w:pPr>
    </w:p>
    <w:p w14:paraId="7B2317E2" w14:textId="77777777" w:rsidR="008A0E9A" w:rsidRDefault="008A0E9A" w:rsidP="008A0E9A">
      <w:pPr>
        <w:spacing w:after="240"/>
        <w:rPr>
          <w:rFonts w:ascii="Arial" w:eastAsia="Arial Unicode MS" w:hAnsi="Arial" w:cs="Arial"/>
          <w:b/>
          <w:color w:val="002846"/>
          <w:w w:val="110"/>
          <w:sz w:val="28"/>
          <w:szCs w:val="20"/>
        </w:rPr>
      </w:pPr>
    </w:p>
    <w:p w14:paraId="3A173892" w14:textId="5E76931B" w:rsidR="00AF6125" w:rsidRDefault="007C01D3" w:rsidP="008A0E9A">
      <w:pPr>
        <w:spacing w:after="240"/>
        <w:rPr>
          <w:rFonts w:ascii="Arial" w:eastAsia="Arial Unicode MS" w:hAnsi="Arial" w:cs="Arial"/>
          <w:b/>
          <w:color w:val="002846"/>
          <w:w w:val="110"/>
          <w:sz w:val="28"/>
          <w:szCs w:val="20"/>
        </w:rPr>
      </w:pPr>
      <w:r w:rsidRPr="007C01D3">
        <w:rPr>
          <w:rFonts w:ascii="Arial" w:eastAsia="Arial Unicode MS" w:hAnsi="Arial" w:cs="Arial"/>
          <w:b/>
          <w:color w:val="002846"/>
          <w:w w:val="110"/>
          <w:sz w:val="28"/>
          <w:szCs w:val="20"/>
        </w:rPr>
        <w:t>CGE</w:t>
      </w:r>
      <w:r w:rsidR="00FE6F6D">
        <w:rPr>
          <w:rFonts w:ascii="Arial" w:eastAsia="Arial Unicode MS" w:hAnsi="Arial" w:cs="Arial"/>
          <w:b/>
          <w:color w:val="002846"/>
          <w:w w:val="110"/>
          <w:sz w:val="28"/>
          <w:szCs w:val="20"/>
        </w:rPr>
        <w:t xml:space="preserve"> aplicará compensaciones a clientes afectados por cortes de suministro producto del sistema frontal</w:t>
      </w:r>
      <w:r w:rsidRPr="007C01D3">
        <w:rPr>
          <w:rFonts w:ascii="Arial" w:eastAsia="Arial Unicode MS" w:hAnsi="Arial" w:cs="Arial"/>
          <w:b/>
          <w:color w:val="002846"/>
          <w:w w:val="110"/>
          <w:sz w:val="28"/>
          <w:szCs w:val="20"/>
        </w:rPr>
        <w:t xml:space="preserve"> </w:t>
      </w:r>
    </w:p>
    <w:p w14:paraId="4510B2F5" w14:textId="45D24986" w:rsidR="0061701D" w:rsidRPr="00E72107" w:rsidRDefault="009465E7" w:rsidP="00E72107">
      <w:pPr>
        <w:numPr>
          <w:ilvl w:val="0"/>
          <w:numId w:val="6"/>
        </w:numPr>
        <w:rPr>
          <w:rFonts w:ascii="Arial" w:eastAsia="Arial Unicode MS" w:hAnsi="Arial" w:cs="Arial"/>
          <w:color w:val="002846"/>
          <w:w w:val="110"/>
          <w:sz w:val="20"/>
          <w:szCs w:val="20"/>
        </w:rPr>
      </w:pPr>
      <w:r w:rsidRPr="00E72107">
        <w:rPr>
          <w:rFonts w:ascii="Arial" w:eastAsia="Arial Unicode MS" w:hAnsi="Arial" w:cs="Arial"/>
          <w:color w:val="002846"/>
          <w:w w:val="110"/>
          <w:sz w:val="20"/>
          <w:szCs w:val="20"/>
        </w:rPr>
        <w:t>La compensación será de $40.000 para clientes que hayan sufrido pérdidas de alimentos por indisponibilidad de suministro eléctrico producto del sistema frontal y no requerirá boleta u otra documentación de respaldo.</w:t>
      </w:r>
    </w:p>
    <w:p w14:paraId="61859155" w14:textId="77777777" w:rsidR="00E72107" w:rsidRPr="00E72107" w:rsidRDefault="00E72107" w:rsidP="00E72107">
      <w:pPr>
        <w:ind w:left="720"/>
        <w:rPr>
          <w:rFonts w:ascii="Arial" w:eastAsia="Arial Unicode MS" w:hAnsi="Arial" w:cs="Arial"/>
          <w:color w:val="002846"/>
          <w:w w:val="110"/>
          <w:szCs w:val="20"/>
        </w:rPr>
      </w:pPr>
    </w:p>
    <w:p w14:paraId="45F431F7" w14:textId="340128D8" w:rsidR="00387F82" w:rsidRPr="00E72107" w:rsidRDefault="007E19E6" w:rsidP="00387F82">
      <w:pPr>
        <w:jc w:val="both"/>
        <w:rPr>
          <w:rFonts w:ascii="Arial" w:eastAsia="Arial Unicode MS" w:hAnsi="Arial" w:cs="Arial"/>
          <w:color w:val="002846"/>
          <w:w w:val="110"/>
          <w:sz w:val="20"/>
          <w:szCs w:val="20"/>
        </w:rPr>
      </w:pPr>
      <w:r>
        <w:rPr>
          <w:rFonts w:ascii="Arial" w:eastAsia="Arial Unicode MS" w:hAnsi="Arial" w:cs="Arial"/>
          <w:b/>
          <w:bCs/>
          <w:color w:val="002846"/>
          <w:w w:val="110"/>
          <w:sz w:val="20"/>
          <w:szCs w:val="20"/>
        </w:rPr>
        <w:t>Talca</w:t>
      </w:r>
      <w:r w:rsidR="00F23718" w:rsidRPr="00E72107">
        <w:rPr>
          <w:rFonts w:ascii="Arial" w:eastAsia="Arial Unicode MS" w:hAnsi="Arial" w:cs="Arial"/>
          <w:b/>
          <w:bCs/>
          <w:color w:val="002846"/>
          <w:w w:val="110"/>
          <w:sz w:val="20"/>
          <w:szCs w:val="20"/>
        </w:rPr>
        <w:t xml:space="preserve">, </w:t>
      </w:r>
      <w:r w:rsidR="00402523" w:rsidRPr="00E72107">
        <w:rPr>
          <w:rFonts w:ascii="Arial" w:eastAsia="Arial Unicode MS" w:hAnsi="Arial" w:cs="Arial"/>
          <w:b/>
          <w:bCs/>
          <w:color w:val="002846"/>
          <w:w w:val="110"/>
          <w:sz w:val="20"/>
          <w:szCs w:val="20"/>
        </w:rPr>
        <w:t>1</w:t>
      </w:r>
      <w:r w:rsidR="00FE6F6D" w:rsidRPr="00E72107">
        <w:rPr>
          <w:rFonts w:ascii="Arial" w:eastAsia="Arial Unicode MS" w:hAnsi="Arial" w:cs="Arial"/>
          <w:b/>
          <w:bCs/>
          <w:color w:val="002846"/>
          <w:w w:val="110"/>
          <w:sz w:val="20"/>
          <w:szCs w:val="20"/>
        </w:rPr>
        <w:t>9</w:t>
      </w:r>
      <w:r w:rsidR="00F23718" w:rsidRPr="00E72107">
        <w:rPr>
          <w:rFonts w:ascii="Arial" w:eastAsia="Arial Unicode MS" w:hAnsi="Arial" w:cs="Arial"/>
          <w:b/>
          <w:bCs/>
          <w:color w:val="002846"/>
          <w:w w:val="110"/>
          <w:sz w:val="20"/>
          <w:szCs w:val="20"/>
        </w:rPr>
        <w:t xml:space="preserve"> de</w:t>
      </w:r>
      <w:r w:rsidR="00544DB1" w:rsidRPr="00E72107">
        <w:rPr>
          <w:rFonts w:ascii="Arial" w:eastAsia="Arial Unicode MS" w:hAnsi="Arial" w:cs="Arial"/>
          <w:b/>
          <w:bCs/>
          <w:color w:val="002846"/>
          <w:w w:val="110"/>
          <w:sz w:val="20"/>
          <w:szCs w:val="20"/>
        </w:rPr>
        <w:t xml:space="preserve"> </w:t>
      </w:r>
      <w:r w:rsidR="002B37CC" w:rsidRPr="00E72107">
        <w:rPr>
          <w:rFonts w:ascii="Arial" w:eastAsia="Arial Unicode MS" w:hAnsi="Arial" w:cs="Arial"/>
          <w:b/>
          <w:bCs/>
          <w:color w:val="002846"/>
          <w:w w:val="110"/>
          <w:sz w:val="20"/>
          <w:szCs w:val="20"/>
        </w:rPr>
        <w:t>ju</w:t>
      </w:r>
      <w:r w:rsidR="006D37A9" w:rsidRPr="00E72107">
        <w:rPr>
          <w:rFonts w:ascii="Arial" w:eastAsia="Arial Unicode MS" w:hAnsi="Arial" w:cs="Arial"/>
          <w:b/>
          <w:bCs/>
          <w:color w:val="002846"/>
          <w:w w:val="110"/>
          <w:sz w:val="20"/>
          <w:szCs w:val="20"/>
        </w:rPr>
        <w:t xml:space="preserve">lio </w:t>
      </w:r>
      <w:r w:rsidR="00544DB1" w:rsidRPr="00E72107">
        <w:rPr>
          <w:rFonts w:ascii="Arial" w:eastAsia="Arial Unicode MS" w:hAnsi="Arial" w:cs="Arial"/>
          <w:b/>
          <w:bCs/>
          <w:color w:val="002846"/>
          <w:w w:val="110"/>
          <w:sz w:val="20"/>
          <w:szCs w:val="20"/>
        </w:rPr>
        <w:t>de 202</w:t>
      </w:r>
      <w:r w:rsidR="008A0E9A" w:rsidRPr="00E72107">
        <w:rPr>
          <w:rFonts w:ascii="Arial" w:eastAsia="Arial Unicode MS" w:hAnsi="Arial" w:cs="Arial"/>
          <w:b/>
          <w:bCs/>
          <w:color w:val="002846"/>
          <w:w w:val="110"/>
          <w:sz w:val="20"/>
          <w:szCs w:val="20"/>
        </w:rPr>
        <w:t>6</w:t>
      </w:r>
      <w:r w:rsidR="00F23718" w:rsidRPr="00E72107">
        <w:rPr>
          <w:rFonts w:ascii="Arial" w:eastAsia="Arial Unicode MS" w:hAnsi="Arial" w:cs="Arial"/>
          <w:b/>
          <w:bCs/>
          <w:color w:val="002846"/>
          <w:w w:val="110"/>
          <w:sz w:val="20"/>
          <w:szCs w:val="20"/>
        </w:rPr>
        <w:t>.</w:t>
      </w:r>
      <w:r w:rsidR="002B37CC" w:rsidRPr="00E72107">
        <w:rPr>
          <w:rFonts w:ascii="Arial" w:eastAsia="Arial Unicode MS" w:hAnsi="Arial" w:cs="Arial"/>
          <w:b/>
          <w:bCs/>
          <w:color w:val="002846"/>
          <w:w w:val="110"/>
          <w:sz w:val="20"/>
          <w:szCs w:val="20"/>
        </w:rPr>
        <w:t>-</w:t>
      </w:r>
      <w:r w:rsidR="005A7921" w:rsidRPr="00E72107">
        <w:rPr>
          <w:rFonts w:ascii="Arial" w:eastAsia="Arial Unicode MS" w:hAnsi="Arial" w:cs="Arial"/>
          <w:b/>
          <w:bCs/>
          <w:color w:val="002846"/>
          <w:w w:val="110"/>
          <w:sz w:val="20"/>
          <w:szCs w:val="20"/>
        </w:rPr>
        <w:t xml:space="preserve"> </w:t>
      </w:r>
      <w:r w:rsidR="00262700" w:rsidRPr="00E72107">
        <w:rPr>
          <w:rFonts w:ascii="Arial" w:eastAsia="Arial Unicode MS" w:hAnsi="Arial" w:cs="Arial"/>
          <w:color w:val="002846"/>
          <w:w w:val="110"/>
          <w:sz w:val="20"/>
          <w:szCs w:val="20"/>
        </w:rPr>
        <w:t xml:space="preserve">CGE, </w:t>
      </w:r>
      <w:r w:rsidR="00387F82" w:rsidRPr="00E72107">
        <w:rPr>
          <w:rFonts w:ascii="Arial" w:eastAsia="Arial Unicode MS" w:hAnsi="Arial" w:cs="Arial"/>
          <w:color w:val="002846"/>
          <w:w w:val="110"/>
          <w:sz w:val="20"/>
          <w:szCs w:val="20"/>
        </w:rPr>
        <w:t>compañía de distribución eléctrica, señaló que implementará compensaciones extraordinarias para aquellos clientes que hayan sufrido pérdidas de alimentos por interrupciones de suministro de larga extensión producto del sistema frontal que afecta a gran parte del país, entre las regiones de Atacama y La Araucanía.</w:t>
      </w:r>
    </w:p>
    <w:p w14:paraId="442DA44F" w14:textId="77777777" w:rsidR="00387F82" w:rsidRPr="00E72107" w:rsidRDefault="00387F82" w:rsidP="00387F82">
      <w:pPr>
        <w:jc w:val="both"/>
        <w:rPr>
          <w:rFonts w:ascii="Arial" w:eastAsia="Arial Unicode MS" w:hAnsi="Arial" w:cs="Arial"/>
          <w:color w:val="002846"/>
          <w:w w:val="110"/>
          <w:sz w:val="20"/>
          <w:szCs w:val="20"/>
        </w:rPr>
      </w:pPr>
    </w:p>
    <w:p w14:paraId="416D69E1" w14:textId="1FFC54FB" w:rsidR="00E0085A" w:rsidRPr="00E72107" w:rsidRDefault="00E0085A" w:rsidP="00E0085A">
      <w:pPr>
        <w:rPr>
          <w:rFonts w:ascii="Arial" w:eastAsia="Arial Unicode MS" w:hAnsi="Arial" w:cs="Arial"/>
          <w:color w:val="002846"/>
          <w:w w:val="110"/>
          <w:sz w:val="20"/>
          <w:szCs w:val="20"/>
        </w:rPr>
      </w:pPr>
      <w:r w:rsidRPr="00E72107">
        <w:rPr>
          <w:rFonts w:ascii="Arial" w:eastAsia="Arial Unicode MS" w:hAnsi="Arial" w:cs="Arial"/>
          <w:color w:val="002846"/>
          <w:w w:val="110"/>
          <w:sz w:val="20"/>
          <w:szCs w:val="20"/>
        </w:rPr>
        <w:t xml:space="preserve">Esta compensación será de $40.000 por cliente que haya sufrido pérdidas de </w:t>
      </w:r>
      <w:r w:rsidR="00E72107" w:rsidRPr="00E72107">
        <w:rPr>
          <w:rFonts w:ascii="Arial" w:eastAsia="Arial Unicode MS" w:hAnsi="Arial" w:cs="Arial"/>
          <w:color w:val="002846"/>
          <w:w w:val="110"/>
          <w:sz w:val="20"/>
          <w:szCs w:val="20"/>
        </w:rPr>
        <w:t>alimentos por</w:t>
      </w:r>
      <w:r w:rsidRPr="00E72107">
        <w:rPr>
          <w:rFonts w:ascii="Arial" w:eastAsia="Arial Unicode MS" w:hAnsi="Arial" w:cs="Arial"/>
          <w:color w:val="002846"/>
          <w:w w:val="110"/>
          <w:sz w:val="20"/>
          <w:szCs w:val="20"/>
        </w:rPr>
        <w:t xml:space="preserve"> indisponibilidad de suministro eléctrico producto del sistema frontal y no requerirá la presentación de boletas u otros comprobantes de respaldo que son solicitados habitualmente para este tipo de situaciones. En el caso que existan pérdidas de alimentos por un monto superior a $40.000 o daño de artefactos eléctricos, los clientes deberán presentar evidencia de estos, y sus casos serán tratados de manera expedita por lo equipos comerciales de la Compañía.</w:t>
      </w:r>
    </w:p>
    <w:p w14:paraId="32B038FB" w14:textId="77777777" w:rsidR="00387F82" w:rsidRPr="00E72107" w:rsidRDefault="00387F82" w:rsidP="00387F82">
      <w:pPr>
        <w:jc w:val="both"/>
        <w:rPr>
          <w:rFonts w:ascii="Arial" w:eastAsia="Arial Unicode MS" w:hAnsi="Arial" w:cs="Arial"/>
          <w:color w:val="002846"/>
          <w:w w:val="110"/>
          <w:sz w:val="20"/>
          <w:szCs w:val="20"/>
        </w:rPr>
      </w:pPr>
    </w:p>
    <w:p w14:paraId="2D86B39A" w14:textId="040760E6" w:rsidR="00387F82" w:rsidRPr="00E72107" w:rsidRDefault="00387F82" w:rsidP="00387F82">
      <w:pPr>
        <w:jc w:val="both"/>
        <w:rPr>
          <w:rFonts w:ascii="Arial" w:eastAsia="Arial Unicode MS" w:hAnsi="Arial" w:cs="Arial"/>
          <w:color w:val="002846"/>
          <w:w w:val="110"/>
          <w:sz w:val="20"/>
          <w:szCs w:val="20"/>
        </w:rPr>
      </w:pPr>
      <w:r w:rsidRPr="00E72107">
        <w:rPr>
          <w:rFonts w:ascii="Arial" w:eastAsia="Arial Unicode MS" w:hAnsi="Arial" w:cs="Arial"/>
          <w:color w:val="002846"/>
          <w:w w:val="110"/>
          <w:sz w:val="20"/>
          <w:szCs w:val="20"/>
        </w:rPr>
        <w:t>Para hacer efectiva esta compensación, nuestros clientes pueden acercarse a nuestras oficinas comerciales o contactarse a través de la página web, call center y WhatsApp para hacernos llegar su solicitud.</w:t>
      </w:r>
    </w:p>
    <w:p w14:paraId="36684D26" w14:textId="77777777" w:rsidR="007B4A63" w:rsidRPr="00E72107" w:rsidRDefault="007B4A63" w:rsidP="00387F82">
      <w:pPr>
        <w:jc w:val="both"/>
        <w:rPr>
          <w:rFonts w:ascii="Arial" w:eastAsia="Arial Unicode MS" w:hAnsi="Arial" w:cs="Arial"/>
          <w:color w:val="002846"/>
          <w:w w:val="110"/>
          <w:sz w:val="20"/>
          <w:szCs w:val="20"/>
        </w:rPr>
      </w:pPr>
    </w:p>
    <w:p w14:paraId="23A4DA30" w14:textId="77777777" w:rsidR="00387F82" w:rsidRPr="00E72107" w:rsidRDefault="00387F82" w:rsidP="00387F82">
      <w:pPr>
        <w:jc w:val="both"/>
        <w:rPr>
          <w:rFonts w:ascii="Arial" w:eastAsia="Arial Unicode MS" w:hAnsi="Arial" w:cs="Arial"/>
          <w:color w:val="002846"/>
          <w:w w:val="110"/>
          <w:sz w:val="20"/>
          <w:szCs w:val="20"/>
        </w:rPr>
      </w:pPr>
      <w:r w:rsidRPr="00E72107">
        <w:rPr>
          <w:rFonts w:ascii="Arial" w:eastAsia="Arial Unicode MS" w:hAnsi="Arial" w:cs="Arial"/>
          <w:color w:val="002846"/>
          <w:w w:val="110"/>
          <w:sz w:val="20"/>
          <w:szCs w:val="20"/>
        </w:rPr>
        <w:t>CGE lamenta los inconvenientes que las interrupciones de suministro han provocado a sus clientes, las que han sido producto de los importantes daños sufridos por la infraestructura eléctrica en las regiones afectadas por el sistema frontal.</w:t>
      </w:r>
    </w:p>
    <w:p w14:paraId="0653229B" w14:textId="77777777" w:rsidR="00387F82" w:rsidRPr="00E72107" w:rsidRDefault="00387F82" w:rsidP="00387F82">
      <w:pPr>
        <w:jc w:val="both"/>
        <w:rPr>
          <w:rFonts w:ascii="Arial" w:eastAsia="Arial Unicode MS" w:hAnsi="Arial" w:cs="Arial"/>
          <w:color w:val="002846"/>
          <w:w w:val="110"/>
          <w:sz w:val="20"/>
          <w:szCs w:val="20"/>
        </w:rPr>
      </w:pPr>
    </w:p>
    <w:p w14:paraId="3E634C81" w14:textId="77777777" w:rsidR="00387F82" w:rsidRPr="00E72107" w:rsidRDefault="00387F82" w:rsidP="00387F82">
      <w:pPr>
        <w:jc w:val="both"/>
        <w:rPr>
          <w:rFonts w:ascii="Arial" w:eastAsia="Arial Unicode MS" w:hAnsi="Arial" w:cs="Arial"/>
          <w:color w:val="002846"/>
          <w:w w:val="110"/>
          <w:sz w:val="20"/>
          <w:szCs w:val="20"/>
        </w:rPr>
      </w:pPr>
      <w:r w:rsidRPr="00E72107">
        <w:rPr>
          <w:rFonts w:ascii="Arial" w:eastAsia="Arial Unicode MS" w:hAnsi="Arial" w:cs="Arial"/>
          <w:color w:val="002846"/>
          <w:w w:val="110"/>
          <w:sz w:val="20"/>
          <w:szCs w:val="20"/>
        </w:rPr>
        <w:t>La Compañía ha desplegado todos sus recursos durante la contingencia, movilizando más de 1.600 brigadas y 5.000 personas en terreno para realizar las reparaciones, pero la extensión geográfica y el nivel de daño provocado por el temporal de viento y lluvia ha impedido el trabajo efectivo de las brigadas en muchos lugares, por problemas de acceso, caminos cortados, ríos desbordados y otras situaciones.</w:t>
      </w:r>
    </w:p>
    <w:p w14:paraId="4839B456" w14:textId="77777777" w:rsidR="007B4A63" w:rsidRPr="00E72107" w:rsidRDefault="007B4A63" w:rsidP="00387F82">
      <w:pPr>
        <w:rPr>
          <w:b/>
          <w:bCs/>
          <w:sz w:val="20"/>
          <w:szCs w:val="20"/>
        </w:rPr>
      </w:pPr>
    </w:p>
    <w:p w14:paraId="255AB90C" w14:textId="3037F57E" w:rsidR="000513E8" w:rsidRPr="00E72107" w:rsidRDefault="000513E8" w:rsidP="00387F82">
      <w:pPr>
        <w:spacing w:after="240"/>
        <w:jc w:val="both"/>
        <w:rPr>
          <w:rFonts w:ascii="Arial" w:hAnsi="Arial" w:cs="Arial"/>
          <w:b/>
          <w:bCs/>
          <w:color w:val="002846"/>
          <w:w w:val="110"/>
          <w:sz w:val="20"/>
          <w:szCs w:val="20"/>
        </w:rPr>
      </w:pPr>
      <w:r w:rsidRPr="00E72107">
        <w:rPr>
          <w:rFonts w:ascii="Arial" w:hAnsi="Arial" w:cs="Arial"/>
          <w:b/>
          <w:bCs/>
          <w:color w:val="002846"/>
          <w:w w:val="110"/>
          <w:sz w:val="20"/>
          <w:szCs w:val="20"/>
        </w:rPr>
        <w:t>Consejo</w:t>
      </w:r>
    </w:p>
    <w:p w14:paraId="6056453F" w14:textId="594E5110" w:rsidR="00F717C5" w:rsidRPr="00F11D01" w:rsidRDefault="000513E8" w:rsidP="00D140D4">
      <w:pPr>
        <w:spacing w:after="240"/>
        <w:jc w:val="both"/>
        <w:rPr>
          <w:rFonts w:ascii="Arial" w:hAnsi="Arial" w:cs="Arial"/>
          <w:color w:val="002846"/>
          <w:w w:val="110"/>
          <w:szCs w:val="20"/>
        </w:rPr>
      </w:pPr>
      <w:r w:rsidRPr="00E72107">
        <w:rPr>
          <w:rFonts w:ascii="Arial" w:hAnsi="Arial" w:cs="Arial"/>
          <w:color w:val="002846"/>
          <w:w w:val="110"/>
          <w:sz w:val="20"/>
          <w:szCs w:val="20"/>
        </w:rPr>
        <w:t xml:space="preserve">CGE reitera el peligro de aproximarse a las redes e infraestructura eléctrica y hace un llamado a sus clientes a tomar algunas medidas de seguridad para evitar accidentes, como no acercarse a conductores o cables dañados o que estén en el suelo, ya que podrían estar energizados. En caso de emergencia, puedes comunicarte con la empresa a través del número de atención gratuito 800 800 767; la cuenta de </w:t>
      </w:r>
      <w:r w:rsidR="00D140D4" w:rsidRPr="00E72107">
        <w:rPr>
          <w:rFonts w:ascii="Arial" w:hAnsi="Arial" w:cs="Arial"/>
          <w:color w:val="002846"/>
          <w:w w:val="110"/>
          <w:sz w:val="20"/>
          <w:szCs w:val="20"/>
        </w:rPr>
        <w:t xml:space="preserve">X </w:t>
      </w:r>
      <w:r w:rsidRPr="00E72107">
        <w:rPr>
          <w:rFonts w:ascii="Arial" w:hAnsi="Arial" w:cs="Arial"/>
          <w:color w:val="002846"/>
          <w:w w:val="110"/>
          <w:sz w:val="20"/>
          <w:szCs w:val="20"/>
        </w:rPr>
        <w:t>@CGE_Clientes, la página web http://www.cge.cl, la aplicación móvil CGE 1click y el número de WhatsApp</w:t>
      </w:r>
      <w:r w:rsidRPr="00F717C5">
        <w:rPr>
          <w:rFonts w:ascii="Arial" w:hAnsi="Arial" w:cs="Arial"/>
          <w:color w:val="002846"/>
          <w:w w:val="110"/>
          <w:szCs w:val="20"/>
        </w:rPr>
        <w:t xml:space="preserve"> </w:t>
      </w:r>
      <w:r w:rsidRPr="00E72107">
        <w:rPr>
          <w:rFonts w:ascii="Arial" w:hAnsi="Arial" w:cs="Arial"/>
          <w:color w:val="002846"/>
          <w:w w:val="110"/>
          <w:sz w:val="20"/>
          <w:szCs w:val="20"/>
        </w:rPr>
        <w:t>+569 895 68 479.</w:t>
      </w:r>
    </w:p>
    <w:sectPr w:rsidR="00F717C5" w:rsidRPr="00F11D01" w:rsidSect="00C27840">
      <w:headerReference w:type="default" r:id="rId11"/>
      <w:footerReference w:type="default" r:id="rId12"/>
      <w:pgSz w:w="11900" w:h="16820"/>
      <w:pgMar w:top="768" w:right="758" w:bottom="1417" w:left="1701" w:header="0"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EE48" w14:textId="77777777" w:rsidR="002C339F" w:rsidRDefault="002C339F" w:rsidP="002C2F6A">
      <w:r>
        <w:separator/>
      </w:r>
    </w:p>
  </w:endnote>
  <w:endnote w:type="continuationSeparator" w:id="0">
    <w:p w14:paraId="1EF3D6E7" w14:textId="77777777" w:rsidR="002C339F" w:rsidRDefault="002C339F" w:rsidP="002C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1D58" w14:textId="6FEB6FE2" w:rsidR="006A65E3" w:rsidRPr="00C9509E" w:rsidRDefault="006A65E3" w:rsidP="006A65E3">
    <w:pPr>
      <w:pStyle w:val="Piedepgina"/>
      <w:ind w:left="5664"/>
      <w:rPr>
        <w:rFonts w:ascii="Arial" w:hAnsi="Arial" w:cs="Arial"/>
        <w:color w:val="001689"/>
        <w:sz w:val="16"/>
        <w:szCs w:val="16"/>
        <w:lang w:val="es-ES"/>
      </w:rPr>
    </w:pPr>
  </w:p>
  <w:p w14:paraId="21A574D7" w14:textId="1D4437B3" w:rsidR="006A65E3" w:rsidRPr="00C9509E" w:rsidRDefault="006A65E3" w:rsidP="006A65E3">
    <w:pPr>
      <w:pStyle w:val="Piedepgina"/>
      <w:ind w:left="5664"/>
      <w:rPr>
        <w:rFonts w:ascii="Arial" w:hAnsi="Arial" w:cs="Arial"/>
        <w:color w:val="001689"/>
        <w:sz w:val="16"/>
        <w:szCs w:val="16"/>
        <w:lang w:val="es-ES"/>
      </w:rPr>
    </w:pPr>
  </w:p>
  <w:p w14:paraId="63801499" w14:textId="01E93FC9" w:rsidR="007041A0" w:rsidRPr="00C9509E" w:rsidRDefault="00233BAF" w:rsidP="006A65E3">
    <w:pPr>
      <w:pStyle w:val="Piedepgina"/>
      <w:rPr>
        <w:rFonts w:ascii="Arial" w:hAnsi="Arial" w:cs="Arial"/>
        <w:color w:val="001689"/>
        <w:sz w:val="16"/>
        <w:szCs w:val="16"/>
        <w:lang w:val="es-ES"/>
      </w:rPr>
    </w:pPr>
    <w:r>
      <w:rPr>
        <w:rFonts w:ascii="Arial" w:hAnsi="Arial" w:cs="Arial"/>
        <w:noProof/>
        <w:color w:val="001689"/>
        <w:sz w:val="16"/>
        <w:szCs w:val="16"/>
        <w:lang w:val="es-ES"/>
      </w:rPr>
      <w:drawing>
        <wp:anchor distT="0" distB="0" distL="114300" distR="114300" simplePos="0" relativeHeight="251659264" behindDoc="1" locked="0" layoutInCell="1" allowOverlap="1" wp14:anchorId="14C5FAFC" wp14:editId="67EE1133">
          <wp:simplePos x="0" y="0"/>
          <wp:positionH relativeFrom="column">
            <wp:posOffset>-1067435</wp:posOffset>
          </wp:positionH>
          <wp:positionV relativeFrom="paragraph">
            <wp:posOffset>227965</wp:posOffset>
          </wp:positionV>
          <wp:extent cx="7608047" cy="60097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608047" cy="600971"/>
                  </a:xfrm>
                  <a:prstGeom prst="rect">
                    <a:avLst/>
                  </a:prstGeom>
                </pic:spPr>
              </pic:pic>
            </a:graphicData>
          </a:graphic>
          <wp14:sizeRelH relativeFrom="page">
            <wp14:pctWidth>0</wp14:pctWidth>
          </wp14:sizeRelH>
          <wp14:sizeRelV relativeFrom="page">
            <wp14:pctHeight>0</wp14:pctHeight>
          </wp14:sizeRelV>
        </wp:anchor>
      </w:drawing>
    </w:r>
    <w:r w:rsidR="006A65E3" w:rsidRPr="00C9509E">
      <w:rPr>
        <w:rFonts w:ascii="Arial" w:hAnsi="Arial" w:cs="Arial"/>
        <w:color w:val="001689"/>
        <w:sz w:val="16"/>
        <w:szCs w:val="16"/>
        <w:lang w:val="es-ES"/>
      </w:rPr>
      <w:t xml:space="preserve">Página </w:t>
    </w:r>
    <w:r w:rsidR="006A65E3" w:rsidRPr="00C9509E">
      <w:rPr>
        <w:rFonts w:ascii="Arial" w:hAnsi="Arial" w:cs="Arial"/>
        <w:color w:val="001689"/>
        <w:sz w:val="16"/>
        <w:szCs w:val="16"/>
        <w:lang w:val="es-ES"/>
      </w:rPr>
      <w:fldChar w:fldCharType="begin"/>
    </w:r>
    <w:r w:rsidR="006A65E3" w:rsidRPr="00C9509E">
      <w:rPr>
        <w:rFonts w:ascii="Arial" w:hAnsi="Arial" w:cs="Arial"/>
        <w:color w:val="001689"/>
        <w:sz w:val="16"/>
        <w:szCs w:val="16"/>
        <w:lang w:val="es-ES"/>
      </w:rPr>
      <w:instrText xml:space="preserve"> PAGE </w:instrText>
    </w:r>
    <w:r w:rsidR="006A65E3" w:rsidRPr="00C9509E">
      <w:rPr>
        <w:rFonts w:ascii="Arial" w:hAnsi="Arial" w:cs="Arial"/>
        <w:color w:val="001689"/>
        <w:sz w:val="16"/>
        <w:szCs w:val="16"/>
        <w:lang w:val="es-ES"/>
      </w:rPr>
      <w:fldChar w:fldCharType="separate"/>
    </w:r>
    <w:r w:rsidR="006A65E3" w:rsidRPr="00C9509E">
      <w:rPr>
        <w:rFonts w:ascii="Arial" w:hAnsi="Arial" w:cs="Arial"/>
        <w:color w:val="001689"/>
        <w:sz w:val="16"/>
        <w:szCs w:val="16"/>
        <w:lang w:val="es-ES"/>
      </w:rPr>
      <w:t>1</w:t>
    </w:r>
    <w:r w:rsidR="006A65E3" w:rsidRPr="00C9509E">
      <w:rPr>
        <w:rFonts w:ascii="Arial" w:hAnsi="Arial" w:cs="Arial"/>
        <w:color w:val="001689"/>
        <w:sz w:val="16"/>
        <w:szCs w:val="16"/>
        <w:lang w:val="es-ES"/>
      </w:rPr>
      <w:fldChar w:fldCharType="end"/>
    </w:r>
    <w:r w:rsidR="006A65E3" w:rsidRPr="00C9509E">
      <w:rPr>
        <w:rFonts w:ascii="Arial" w:hAnsi="Arial" w:cs="Arial"/>
        <w:color w:val="001689"/>
        <w:sz w:val="16"/>
        <w:szCs w:val="16"/>
        <w:lang w:val="es-ES"/>
      </w:rPr>
      <w:t xml:space="preserve"> de </w:t>
    </w:r>
    <w:r w:rsidR="006A65E3" w:rsidRPr="00C9509E">
      <w:rPr>
        <w:rFonts w:ascii="Arial" w:hAnsi="Arial" w:cs="Arial"/>
        <w:color w:val="001689"/>
        <w:sz w:val="16"/>
        <w:szCs w:val="16"/>
        <w:lang w:val="es-ES"/>
      </w:rPr>
      <w:fldChar w:fldCharType="begin"/>
    </w:r>
    <w:r w:rsidR="006A65E3" w:rsidRPr="00C9509E">
      <w:rPr>
        <w:rFonts w:ascii="Arial" w:hAnsi="Arial" w:cs="Arial"/>
        <w:color w:val="001689"/>
        <w:sz w:val="16"/>
        <w:szCs w:val="16"/>
        <w:lang w:val="es-ES"/>
      </w:rPr>
      <w:instrText xml:space="preserve"> NUMPAGES </w:instrText>
    </w:r>
    <w:r w:rsidR="006A65E3" w:rsidRPr="00C9509E">
      <w:rPr>
        <w:rFonts w:ascii="Arial" w:hAnsi="Arial" w:cs="Arial"/>
        <w:color w:val="001689"/>
        <w:sz w:val="16"/>
        <w:szCs w:val="16"/>
        <w:lang w:val="es-ES"/>
      </w:rPr>
      <w:fldChar w:fldCharType="separate"/>
    </w:r>
    <w:r w:rsidR="006A65E3" w:rsidRPr="00C9509E">
      <w:rPr>
        <w:rFonts w:ascii="Arial" w:hAnsi="Arial" w:cs="Arial"/>
        <w:color w:val="001689"/>
        <w:sz w:val="16"/>
        <w:szCs w:val="16"/>
        <w:lang w:val="es-ES"/>
      </w:rPr>
      <w:t>2</w:t>
    </w:r>
    <w:r w:rsidR="006A65E3" w:rsidRPr="00C9509E">
      <w:rPr>
        <w:rFonts w:ascii="Arial" w:hAnsi="Arial" w:cs="Arial"/>
        <w:color w:val="001689"/>
        <w:sz w:val="16"/>
        <w:szCs w:val="16"/>
        <w:lang w:val="es-ES"/>
      </w:rPr>
      <w:fldChar w:fldCharType="end"/>
    </w:r>
    <w:r w:rsidR="006A65E3" w:rsidRPr="00C9509E">
      <w:rPr>
        <w:rFonts w:ascii="Arial" w:hAnsi="Arial" w:cs="Arial"/>
        <w:color w:val="001689"/>
        <w:sz w:val="16"/>
        <w:szCs w:val="16"/>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DCFF5" w14:textId="77777777" w:rsidR="002C339F" w:rsidRDefault="002C339F" w:rsidP="002C2F6A">
      <w:r>
        <w:separator/>
      </w:r>
    </w:p>
  </w:footnote>
  <w:footnote w:type="continuationSeparator" w:id="0">
    <w:p w14:paraId="24ADAEEB" w14:textId="77777777" w:rsidR="002C339F" w:rsidRDefault="002C339F" w:rsidP="002C2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9B93" w14:textId="222B19C8" w:rsidR="00DF26D2" w:rsidRDefault="00505197">
    <w:pPr>
      <w:pStyle w:val="Encabezado"/>
    </w:pPr>
    <w:r>
      <w:rPr>
        <w:noProof/>
      </w:rPr>
      <w:drawing>
        <wp:anchor distT="0" distB="0" distL="114300" distR="114300" simplePos="0" relativeHeight="251658240" behindDoc="0" locked="0" layoutInCell="1" allowOverlap="1" wp14:anchorId="6A88E193" wp14:editId="698FD3E8">
          <wp:simplePos x="0" y="0"/>
          <wp:positionH relativeFrom="column">
            <wp:posOffset>-1100503</wp:posOffset>
          </wp:positionH>
          <wp:positionV relativeFrom="paragraph">
            <wp:posOffset>280334</wp:posOffset>
          </wp:positionV>
          <wp:extent cx="7665720" cy="605723"/>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665720" cy="6057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53ACC"/>
    <w:multiLevelType w:val="hybridMultilevel"/>
    <w:tmpl w:val="D2C20D22"/>
    <w:lvl w:ilvl="0" w:tplc="61C67F38">
      <w:start w:val="1"/>
      <w:numFmt w:val="bullet"/>
      <w:lvlText w:val="-"/>
      <w:lvlJc w:val="left"/>
      <w:pPr>
        <w:ind w:left="720" w:hanging="360"/>
      </w:pPr>
      <w:rPr>
        <w:rFonts w:ascii="Calibri" w:eastAsiaTheme="minorHAnsi" w:hAnsi="Calibri" w:cstheme="minorBid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E0B1684"/>
    <w:multiLevelType w:val="hybridMultilevel"/>
    <w:tmpl w:val="FCF4B5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41D2B61"/>
    <w:multiLevelType w:val="hybridMultilevel"/>
    <w:tmpl w:val="E708E1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7A9455E"/>
    <w:multiLevelType w:val="hybridMultilevel"/>
    <w:tmpl w:val="5C187BAA"/>
    <w:lvl w:ilvl="0" w:tplc="B6989B5A">
      <w:numFmt w:val="bullet"/>
      <w:lvlText w:val="-"/>
      <w:lvlJc w:val="left"/>
      <w:pPr>
        <w:ind w:left="1080" w:hanging="360"/>
      </w:pPr>
      <w:rPr>
        <w:rFonts w:ascii="Arial" w:eastAsia="Arial Unicode MS"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641F457D"/>
    <w:multiLevelType w:val="hybridMultilevel"/>
    <w:tmpl w:val="B0A06F6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779764610">
    <w:abstractNumId w:val="2"/>
  </w:num>
  <w:num w:numId="2" w16cid:durableId="66922937">
    <w:abstractNumId w:val="4"/>
  </w:num>
  <w:num w:numId="3" w16cid:durableId="885483714">
    <w:abstractNumId w:val="4"/>
  </w:num>
  <w:num w:numId="4" w16cid:durableId="1177965855">
    <w:abstractNumId w:val="0"/>
  </w:num>
  <w:num w:numId="5" w16cid:durableId="617878077">
    <w:abstractNumId w:val="3"/>
  </w:num>
  <w:num w:numId="6" w16cid:durableId="151480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6A"/>
    <w:rsid w:val="00006394"/>
    <w:rsid w:val="00013C33"/>
    <w:rsid w:val="00015894"/>
    <w:rsid w:val="00020599"/>
    <w:rsid w:val="00026F0C"/>
    <w:rsid w:val="000513E8"/>
    <w:rsid w:val="00054E3C"/>
    <w:rsid w:val="000631B2"/>
    <w:rsid w:val="00063F05"/>
    <w:rsid w:val="0007102E"/>
    <w:rsid w:val="0007318B"/>
    <w:rsid w:val="00073DF6"/>
    <w:rsid w:val="0007546B"/>
    <w:rsid w:val="000802CC"/>
    <w:rsid w:val="00085EF0"/>
    <w:rsid w:val="00087400"/>
    <w:rsid w:val="00097C74"/>
    <w:rsid w:val="000A707A"/>
    <w:rsid w:val="000A7FD7"/>
    <w:rsid w:val="000B4A4F"/>
    <w:rsid w:val="000B6282"/>
    <w:rsid w:val="000C601A"/>
    <w:rsid w:val="000D2D82"/>
    <w:rsid w:val="000D62AC"/>
    <w:rsid w:val="000D7B23"/>
    <w:rsid w:val="000E7A60"/>
    <w:rsid w:val="000F0632"/>
    <w:rsid w:val="000F2E26"/>
    <w:rsid w:val="000F60E2"/>
    <w:rsid w:val="000F75F0"/>
    <w:rsid w:val="0010700D"/>
    <w:rsid w:val="0011139D"/>
    <w:rsid w:val="00116C85"/>
    <w:rsid w:val="00121E97"/>
    <w:rsid w:val="001247E7"/>
    <w:rsid w:val="00124BE2"/>
    <w:rsid w:val="00132DE5"/>
    <w:rsid w:val="00134231"/>
    <w:rsid w:val="00141078"/>
    <w:rsid w:val="00146C61"/>
    <w:rsid w:val="00150AFE"/>
    <w:rsid w:val="00151C55"/>
    <w:rsid w:val="00152BFF"/>
    <w:rsid w:val="001546E0"/>
    <w:rsid w:val="001730C4"/>
    <w:rsid w:val="00177CAA"/>
    <w:rsid w:val="001B482B"/>
    <w:rsid w:val="001E1E57"/>
    <w:rsid w:val="001E4470"/>
    <w:rsid w:val="001F35F7"/>
    <w:rsid w:val="001F4680"/>
    <w:rsid w:val="002006E0"/>
    <w:rsid w:val="00202039"/>
    <w:rsid w:val="002050B2"/>
    <w:rsid w:val="00227F13"/>
    <w:rsid w:val="00233BAF"/>
    <w:rsid w:val="00236710"/>
    <w:rsid w:val="00245358"/>
    <w:rsid w:val="0025461B"/>
    <w:rsid w:val="00261175"/>
    <w:rsid w:val="00262700"/>
    <w:rsid w:val="002735DE"/>
    <w:rsid w:val="00280F82"/>
    <w:rsid w:val="00285740"/>
    <w:rsid w:val="00285EF5"/>
    <w:rsid w:val="00290BCB"/>
    <w:rsid w:val="00294A17"/>
    <w:rsid w:val="002A6FEE"/>
    <w:rsid w:val="002B37CC"/>
    <w:rsid w:val="002C268A"/>
    <w:rsid w:val="002C2F6A"/>
    <w:rsid w:val="002C339F"/>
    <w:rsid w:val="002D12A4"/>
    <w:rsid w:val="002E6EA6"/>
    <w:rsid w:val="002F11B0"/>
    <w:rsid w:val="002F75F9"/>
    <w:rsid w:val="00306D84"/>
    <w:rsid w:val="003119FB"/>
    <w:rsid w:val="00327634"/>
    <w:rsid w:val="0033356F"/>
    <w:rsid w:val="00334A34"/>
    <w:rsid w:val="00335F96"/>
    <w:rsid w:val="00337498"/>
    <w:rsid w:val="003478F8"/>
    <w:rsid w:val="003560DD"/>
    <w:rsid w:val="003610F2"/>
    <w:rsid w:val="00363F64"/>
    <w:rsid w:val="00372662"/>
    <w:rsid w:val="003735CB"/>
    <w:rsid w:val="00374EBD"/>
    <w:rsid w:val="0038043E"/>
    <w:rsid w:val="00382656"/>
    <w:rsid w:val="00383F3E"/>
    <w:rsid w:val="00387F82"/>
    <w:rsid w:val="0039550E"/>
    <w:rsid w:val="00396487"/>
    <w:rsid w:val="00397A2C"/>
    <w:rsid w:val="003A33C1"/>
    <w:rsid w:val="003B2234"/>
    <w:rsid w:val="003B5A64"/>
    <w:rsid w:val="003B6D2F"/>
    <w:rsid w:val="003C16B4"/>
    <w:rsid w:val="003C3ABB"/>
    <w:rsid w:val="003D28ED"/>
    <w:rsid w:val="003D29C5"/>
    <w:rsid w:val="003E0CED"/>
    <w:rsid w:val="003E3508"/>
    <w:rsid w:val="003E380D"/>
    <w:rsid w:val="003F07D6"/>
    <w:rsid w:val="003F3F1A"/>
    <w:rsid w:val="003F4DA8"/>
    <w:rsid w:val="0040001F"/>
    <w:rsid w:val="00402523"/>
    <w:rsid w:val="00410B10"/>
    <w:rsid w:val="00410FDA"/>
    <w:rsid w:val="00411633"/>
    <w:rsid w:val="00415224"/>
    <w:rsid w:val="00417044"/>
    <w:rsid w:val="00425AB3"/>
    <w:rsid w:val="00426A61"/>
    <w:rsid w:val="00427CD4"/>
    <w:rsid w:val="0043089D"/>
    <w:rsid w:val="0043485D"/>
    <w:rsid w:val="004379B7"/>
    <w:rsid w:val="00440E2B"/>
    <w:rsid w:val="00451A99"/>
    <w:rsid w:val="004542F3"/>
    <w:rsid w:val="00464A9B"/>
    <w:rsid w:val="00473AED"/>
    <w:rsid w:val="004764FF"/>
    <w:rsid w:val="004807E4"/>
    <w:rsid w:val="004827B5"/>
    <w:rsid w:val="00486D03"/>
    <w:rsid w:val="00490D53"/>
    <w:rsid w:val="00492809"/>
    <w:rsid w:val="004979D8"/>
    <w:rsid w:val="004B3108"/>
    <w:rsid w:val="004C30EE"/>
    <w:rsid w:val="004C588B"/>
    <w:rsid w:val="004C7033"/>
    <w:rsid w:val="004D5F88"/>
    <w:rsid w:val="004E6C37"/>
    <w:rsid w:val="004E6E23"/>
    <w:rsid w:val="004E7E6A"/>
    <w:rsid w:val="004F1BBB"/>
    <w:rsid w:val="004F4A13"/>
    <w:rsid w:val="004F4C08"/>
    <w:rsid w:val="00500520"/>
    <w:rsid w:val="00500BB5"/>
    <w:rsid w:val="00503C41"/>
    <w:rsid w:val="00505197"/>
    <w:rsid w:val="00516F4E"/>
    <w:rsid w:val="00527E96"/>
    <w:rsid w:val="0053021D"/>
    <w:rsid w:val="00532D99"/>
    <w:rsid w:val="00544DB1"/>
    <w:rsid w:val="00545318"/>
    <w:rsid w:val="00547465"/>
    <w:rsid w:val="00551672"/>
    <w:rsid w:val="00554DBC"/>
    <w:rsid w:val="0055605E"/>
    <w:rsid w:val="0055760B"/>
    <w:rsid w:val="00557F13"/>
    <w:rsid w:val="00560D2C"/>
    <w:rsid w:val="00567BCE"/>
    <w:rsid w:val="0057038F"/>
    <w:rsid w:val="00575583"/>
    <w:rsid w:val="00575A9D"/>
    <w:rsid w:val="0058262B"/>
    <w:rsid w:val="00586580"/>
    <w:rsid w:val="00591F78"/>
    <w:rsid w:val="00592FF3"/>
    <w:rsid w:val="00593471"/>
    <w:rsid w:val="005946ED"/>
    <w:rsid w:val="00596015"/>
    <w:rsid w:val="005A1214"/>
    <w:rsid w:val="005A7921"/>
    <w:rsid w:val="005B0CC2"/>
    <w:rsid w:val="005C63EC"/>
    <w:rsid w:val="005E4FD6"/>
    <w:rsid w:val="005E5958"/>
    <w:rsid w:val="005F12DB"/>
    <w:rsid w:val="005F4C7F"/>
    <w:rsid w:val="005F5351"/>
    <w:rsid w:val="005F71BC"/>
    <w:rsid w:val="005F7446"/>
    <w:rsid w:val="00616A16"/>
    <w:rsid w:val="0061701D"/>
    <w:rsid w:val="006175FB"/>
    <w:rsid w:val="00620186"/>
    <w:rsid w:val="00625F98"/>
    <w:rsid w:val="00626468"/>
    <w:rsid w:val="00633CBA"/>
    <w:rsid w:val="00647AD3"/>
    <w:rsid w:val="00650FF6"/>
    <w:rsid w:val="00652E6E"/>
    <w:rsid w:val="00653B5C"/>
    <w:rsid w:val="00655743"/>
    <w:rsid w:val="00660B4A"/>
    <w:rsid w:val="00667C70"/>
    <w:rsid w:val="00674D31"/>
    <w:rsid w:val="0068282B"/>
    <w:rsid w:val="00682A09"/>
    <w:rsid w:val="00691D3C"/>
    <w:rsid w:val="00696BC0"/>
    <w:rsid w:val="006971C4"/>
    <w:rsid w:val="00697C95"/>
    <w:rsid w:val="006A110D"/>
    <w:rsid w:val="006A2227"/>
    <w:rsid w:val="006A42DC"/>
    <w:rsid w:val="006A4B40"/>
    <w:rsid w:val="006A65E3"/>
    <w:rsid w:val="006B2D6E"/>
    <w:rsid w:val="006B5A2C"/>
    <w:rsid w:val="006D37A9"/>
    <w:rsid w:val="006D5581"/>
    <w:rsid w:val="006D6B6F"/>
    <w:rsid w:val="006E665E"/>
    <w:rsid w:val="006F04A4"/>
    <w:rsid w:val="006F1BC2"/>
    <w:rsid w:val="007041A0"/>
    <w:rsid w:val="00704588"/>
    <w:rsid w:val="00705BEE"/>
    <w:rsid w:val="007119F9"/>
    <w:rsid w:val="007146BB"/>
    <w:rsid w:val="00714C55"/>
    <w:rsid w:val="0072315D"/>
    <w:rsid w:val="00727096"/>
    <w:rsid w:val="00750B6F"/>
    <w:rsid w:val="00751ECD"/>
    <w:rsid w:val="0075289A"/>
    <w:rsid w:val="00770D05"/>
    <w:rsid w:val="0077156C"/>
    <w:rsid w:val="00782E58"/>
    <w:rsid w:val="0078764D"/>
    <w:rsid w:val="00790EAD"/>
    <w:rsid w:val="00794858"/>
    <w:rsid w:val="007A26BD"/>
    <w:rsid w:val="007A3FB2"/>
    <w:rsid w:val="007A6C7C"/>
    <w:rsid w:val="007B34FE"/>
    <w:rsid w:val="007B4A63"/>
    <w:rsid w:val="007C01D3"/>
    <w:rsid w:val="007C2050"/>
    <w:rsid w:val="007D4206"/>
    <w:rsid w:val="007D4E0D"/>
    <w:rsid w:val="007D7F69"/>
    <w:rsid w:val="007E19E6"/>
    <w:rsid w:val="00800AB0"/>
    <w:rsid w:val="0080218F"/>
    <w:rsid w:val="00802E49"/>
    <w:rsid w:val="00803D1A"/>
    <w:rsid w:val="0081085B"/>
    <w:rsid w:val="00815DBE"/>
    <w:rsid w:val="0083343E"/>
    <w:rsid w:val="00843B7B"/>
    <w:rsid w:val="00856496"/>
    <w:rsid w:val="00870FCD"/>
    <w:rsid w:val="00872C00"/>
    <w:rsid w:val="00877829"/>
    <w:rsid w:val="008857DF"/>
    <w:rsid w:val="00885E73"/>
    <w:rsid w:val="008871A5"/>
    <w:rsid w:val="00890250"/>
    <w:rsid w:val="00890C57"/>
    <w:rsid w:val="008920F8"/>
    <w:rsid w:val="008A0E9A"/>
    <w:rsid w:val="008A1D0A"/>
    <w:rsid w:val="008A22E6"/>
    <w:rsid w:val="008A52A2"/>
    <w:rsid w:val="008B1CA4"/>
    <w:rsid w:val="008B5B20"/>
    <w:rsid w:val="008B630F"/>
    <w:rsid w:val="008C2C0B"/>
    <w:rsid w:val="008D153D"/>
    <w:rsid w:val="008D215B"/>
    <w:rsid w:val="008E0A89"/>
    <w:rsid w:val="008E2478"/>
    <w:rsid w:val="008E2FFF"/>
    <w:rsid w:val="008E4577"/>
    <w:rsid w:val="00902613"/>
    <w:rsid w:val="0093526A"/>
    <w:rsid w:val="00937BE2"/>
    <w:rsid w:val="009430E6"/>
    <w:rsid w:val="009441B1"/>
    <w:rsid w:val="009465E7"/>
    <w:rsid w:val="0095426E"/>
    <w:rsid w:val="00954BFB"/>
    <w:rsid w:val="00954C7F"/>
    <w:rsid w:val="00960002"/>
    <w:rsid w:val="00961F99"/>
    <w:rsid w:val="00964CEF"/>
    <w:rsid w:val="00964DE9"/>
    <w:rsid w:val="0096714E"/>
    <w:rsid w:val="00983CC3"/>
    <w:rsid w:val="00984FB3"/>
    <w:rsid w:val="00993C14"/>
    <w:rsid w:val="00997DD6"/>
    <w:rsid w:val="009A196F"/>
    <w:rsid w:val="009B4A1D"/>
    <w:rsid w:val="009C2615"/>
    <w:rsid w:val="009C2E5D"/>
    <w:rsid w:val="009C5763"/>
    <w:rsid w:val="009D2E3B"/>
    <w:rsid w:val="009D6269"/>
    <w:rsid w:val="00A042D0"/>
    <w:rsid w:val="00A058C6"/>
    <w:rsid w:val="00A1085B"/>
    <w:rsid w:val="00A24369"/>
    <w:rsid w:val="00A24C45"/>
    <w:rsid w:val="00A25140"/>
    <w:rsid w:val="00A30B29"/>
    <w:rsid w:val="00A329C8"/>
    <w:rsid w:val="00A35960"/>
    <w:rsid w:val="00A45C8E"/>
    <w:rsid w:val="00A517D5"/>
    <w:rsid w:val="00A62F0E"/>
    <w:rsid w:val="00A8437F"/>
    <w:rsid w:val="00A84E6F"/>
    <w:rsid w:val="00A86689"/>
    <w:rsid w:val="00AB6AF4"/>
    <w:rsid w:val="00AC4999"/>
    <w:rsid w:val="00AD3480"/>
    <w:rsid w:val="00AD424D"/>
    <w:rsid w:val="00AD796E"/>
    <w:rsid w:val="00AE5E45"/>
    <w:rsid w:val="00AF6125"/>
    <w:rsid w:val="00B17B90"/>
    <w:rsid w:val="00B200EA"/>
    <w:rsid w:val="00B37C39"/>
    <w:rsid w:val="00B42A19"/>
    <w:rsid w:val="00B431BC"/>
    <w:rsid w:val="00B43F51"/>
    <w:rsid w:val="00B462EF"/>
    <w:rsid w:val="00B517D2"/>
    <w:rsid w:val="00B657D2"/>
    <w:rsid w:val="00B71478"/>
    <w:rsid w:val="00B8270A"/>
    <w:rsid w:val="00B83774"/>
    <w:rsid w:val="00B87E67"/>
    <w:rsid w:val="00B91A8D"/>
    <w:rsid w:val="00B91DC3"/>
    <w:rsid w:val="00B945E9"/>
    <w:rsid w:val="00BA580C"/>
    <w:rsid w:val="00BA7F4E"/>
    <w:rsid w:val="00BB5BE0"/>
    <w:rsid w:val="00BC028E"/>
    <w:rsid w:val="00BC2C5B"/>
    <w:rsid w:val="00BD37C4"/>
    <w:rsid w:val="00BE6517"/>
    <w:rsid w:val="00C00B57"/>
    <w:rsid w:val="00C146B2"/>
    <w:rsid w:val="00C162F4"/>
    <w:rsid w:val="00C178F3"/>
    <w:rsid w:val="00C2073B"/>
    <w:rsid w:val="00C223E9"/>
    <w:rsid w:val="00C27170"/>
    <w:rsid w:val="00C27840"/>
    <w:rsid w:val="00C34E50"/>
    <w:rsid w:val="00C373AB"/>
    <w:rsid w:val="00C41044"/>
    <w:rsid w:val="00C54F7F"/>
    <w:rsid w:val="00C55E35"/>
    <w:rsid w:val="00C6085A"/>
    <w:rsid w:val="00C6769B"/>
    <w:rsid w:val="00C742DE"/>
    <w:rsid w:val="00C8560D"/>
    <w:rsid w:val="00C85787"/>
    <w:rsid w:val="00C90265"/>
    <w:rsid w:val="00C91774"/>
    <w:rsid w:val="00C93277"/>
    <w:rsid w:val="00C95047"/>
    <w:rsid w:val="00C9509E"/>
    <w:rsid w:val="00C97ED3"/>
    <w:rsid w:val="00CA65D5"/>
    <w:rsid w:val="00CC026C"/>
    <w:rsid w:val="00CC5013"/>
    <w:rsid w:val="00CD097B"/>
    <w:rsid w:val="00CD5CD6"/>
    <w:rsid w:val="00CD6780"/>
    <w:rsid w:val="00CD70B2"/>
    <w:rsid w:val="00CE0C86"/>
    <w:rsid w:val="00CE3F48"/>
    <w:rsid w:val="00CE4834"/>
    <w:rsid w:val="00CF45DC"/>
    <w:rsid w:val="00CF672F"/>
    <w:rsid w:val="00D138CB"/>
    <w:rsid w:val="00D140D4"/>
    <w:rsid w:val="00D152D7"/>
    <w:rsid w:val="00D16022"/>
    <w:rsid w:val="00D24BA4"/>
    <w:rsid w:val="00D24E39"/>
    <w:rsid w:val="00D25A4C"/>
    <w:rsid w:val="00D335B8"/>
    <w:rsid w:val="00D403C3"/>
    <w:rsid w:val="00D423E7"/>
    <w:rsid w:val="00D46120"/>
    <w:rsid w:val="00D5167F"/>
    <w:rsid w:val="00D654EC"/>
    <w:rsid w:val="00D706FE"/>
    <w:rsid w:val="00D80D77"/>
    <w:rsid w:val="00D82EA3"/>
    <w:rsid w:val="00D82FE8"/>
    <w:rsid w:val="00D956DB"/>
    <w:rsid w:val="00D96602"/>
    <w:rsid w:val="00DA3BE7"/>
    <w:rsid w:val="00DB1AF4"/>
    <w:rsid w:val="00DB7684"/>
    <w:rsid w:val="00DC4BCD"/>
    <w:rsid w:val="00DD193B"/>
    <w:rsid w:val="00DD2CE6"/>
    <w:rsid w:val="00DD3A7D"/>
    <w:rsid w:val="00DD789B"/>
    <w:rsid w:val="00DE0207"/>
    <w:rsid w:val="00DE174C"/>
    <w:rsid w:val="00DE2178"/>
    <w:rsid w:val="00DE502B"/>
    <w:rsid w:val="00DF03B9"/>
    <w:rsid w:val="00DF26D2"/>
    <w:rsid w:val="00E0085A"/>
    <w:rsid w:val="00E02466"/>
    <w:rsid w:val="00E052F1"/>
    <w:rsid w:val="00E24147"/>
    <w:rsid w:val="00E27D50"/>
    <w:rsid w:val="00E30069"/>
    <w:rsid w:val="00E30158"/>
    <w:rsid w:val="00E374B6"/>
    <w:rsid w:val="00E52038"/>
    <w:rsid w:val="00E53A3E"/>
    <w:rsid w:val="00E5488F"/>
    <w:rsid w:val="00E57964"/>
    <w:rsid w:val="00E60E2D"/>
    <w:rsid w:val="00E62B7C"/>
    <w:rsid w:val="00E63C44"/>
    <w:rsid w:val="00E72000"/>
    <w:rsid w:val="00E72107"/>
    <w:rsid w:val="00E73E49"/>
    <w:rsid w:val="00E765ED"/>
    <w:rsid w:val="00E8264B"/>
    <w:rsid w:val="00E85D8F"/>
    <w:rsid w:val="00EA28D9"/>
    <w:rsid w:val="00EA717B"/>
    <w:rsid w:val="00EB3640"/>
    <w:rsid w:val="00EB3998"/>
    <w:rsid w:val="00EB5A35"/>
    <w:rsid w:val="00ED1DA6"/>
    <w:rsid w:val="00ED2C68"/>
    <w:rsid w:val="00EE71E5"/>
    <w:rsid w:val="00EF2CA7"/>
    <w:rsid w:val="00EF7F67"/>
    <w:rsid w:val="00F02B99"/>
    <w:rsid w:val="00F0416E"/>
    <w:rsid w:val="00F045A8"/>
    <w:rsid w:val="00F06565"/>
    <w:rsid w:val="00F06D7B"/>
    <w:rsid w:val="00F15523"/>
    <w:rsid w:val="00F23718"/>
    <w:rsid w:val="00F25D15"/>
    <w:rsid w:val="00F33FFF"/>
    <w:rsid w:val="00F3709A"/>
    <w:rsid w:val="00F43C36"/>
    <w:rsid w:val="00F5024F"/>
    <w:rsid w:val="00F5182C"/>
    <w:rsid w:val="00F56685"/>
    <w:rsid w:val="00F62A56"/>
    <w:rsid w:val="00F67C81"/>
    <w:rsid w:val="00F704AD"/>
    <w:rsid w:val="00F717C5"/>
    <w:rsid w:val="00F71CBF"/>
    <w:rsid w:val="00F77719"/>
    <w:rsid w:val="00F91EE9"/>
    <w:rsid w:val="00F94F01"/>
    <w:rsid w:val="00F953B5"/>
    <w:rsid w:val="00FA052F"/>
    <w:rsid w:val="00FB70A5"/>
    <w:rsid w:val="00FC3B52"/>
    <w:rsid w:val="00FC5549"/>
    <w:rsid w:val="00FD1E2C"/>
    <w:rsid w:val="00FE06A3"/>
    <w:rsid w:val="00FE1CA5"/>
    <w:rsid w:val="00FE5BF4"/>
    <w:rsid w:val="00FE6F6D"/>
    <w:rsid w:val="00FF21D1"/>
    <w:rsid w:val="00FF2D0A"/>
    <w:rsid w:val="00FF45BF"/>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4C43"/>
  <w15:chartTrackingRefBased/>
  <w15:docId w15:val="{77EF336B-CB49-034C-9A27-2687125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D2"/>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F6A"/>
    <w:pPr>
      <w:tabs>
        <w:tab w:val="center" w:pos="4419"/>
        <w:tab w:val="right" w:pos="8838"/>
      </w:tabs>
    </w:pPr>
    <w:rPr>
      <w:rFonts w:asciiTheme="minorHAnsi" w:eastAsiaTheme="minorEastAsia" w:hAnsiTheme="minorHAnsi" w:cstheme="minorBidi"/>
      <w:lang w:eastAsia="en-US"/>
    </w:rPr>
  </w:style>
  <w:style w:type="character" w:customStyle="1" w:styleId="EncabezadoCar">
    <w:name w:val="Encabezado Car"/>
    <w:basedOn w:val="Fuentedeprrafopredeter"/>
    <w:link w:val="Encabezado"/>
    <w:uiPriority w:val="99"/>
    <w:rsid w:val="002C2F6A"/>
  </w:style>
  <w:style w:type="paragraph" w:styleId="Piedepgina">
    <w:name w:val="footer"/>
    <w:basedOn w:val="Normal"/>
    <w:link w:val="PiedepginaCar"/>
    <w:uiPriority w:val="99"/>
    <w:unhideWhenUsed/>
    <w:rsid w:val="002C2F6A"/>
    <w:pPr>
      <w:tabs>
        <w:tab w:val="center" w:pos="4419"/>
        <w:tab w:val="right" w:pos="8838"/>
      </w:tabs>
    </w:pPr>
    <w:rPr>
      <w:rFonts w:asciiTheme="minorHAnsi" w:eastAsiaTheme="minorEastAsia" w:hAnsiTheme="minorHAnsi" w:cstheme="minorBidi"/>
      <w:lang w:eastAsia="en-US"/>
    </w:rPr>
  </w:style>
  <w:style w:type="character" w:customStyle="1" w:styleId="PiedepginaCar">
    <w:name w:val="Pie de página Car"/>
    <w:basedOn w:val="Fuentedeprrafopredeter"/>
    <w:link w:val="Piedepgina"/>
    <w:uiPriority w:val="99"/>
    <w:rsid w:val="002C2F6A"/>
  </w:style>
  <w:style w:type="paragraph" w:styleId="Prrafodelista">
    <w:name w:val="List Paragraph"/>
    <w:basedOn w:val="Normal"/>
    <w:uiPriority w:val="34"/>
    <w:qFormat/>
    <w:rsid w:val="0007102E"/>
    <w:pPr>
      <w:ind w:left="720"/>
      <w:contextualSpacing/>
    </w:pPr>
    <w:rPr>
      <w:rFonts w:asciiTheme="minorHAnsi" w:eastAsiaTheme="minorEastAsia" w:hAnsiTheme="minorHAnsi" w:cstheme="minorBidi"/>
      <w:lang w:eastAsia="en-US"/>
    </w:rPr>
  </w:style>
  <w:style w:type="character" w:styleId="Hipervnculo">
    <w:name w:val="Hyperlink"/>
    <w:basedOn w:val="Fuentedeprrafopredeter"/>
    <w:uiPriority w:val="99"/>
    <w:unhideWhenUsed/>
    <w:rsid w:val="00960002"/>
    <w:rPr>
      <w:color w:val="0563C1" w:themeColor="hyperlink"/>
      <w:u w:val="single"/>
    </w:rPr>
  </w:style>
  <w:style w:type="character" w:styleId="Mencinsinresolver">
    <w:name w:val="Unresolved Mention"/>
    <w:basedOn w:val="Fuentedeprrafopredeter"/>
    <w:uiPriority w:val="99"/>
    <w:semiHidden/>
    <w:unhideWhenUsed/>
    <w:rsid w:val="00960002"/>
    <w:rPr>
      <w:color w:val="605E5C"/>
      <w:shd w:val="clear" w:color="auto" w:fill="E1DFDD"/>
    </w:rPr>
  </w:style>
  <w:style w:type="paragraph" w:styleId="Textodeglobo">
    <w:name w:val="Balloon Text"/>
    <w:basedOn w:val="Normal"/>
    <w:link w:val="TextodegloboCar"/>
    <w:uiPriority w:val="99"/>
    <w:semiHidden/>
    <w:unhideWhenUsed/>
    <w:rsid w:val="005576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760B"/>
    <w:rPr>
      <w:rFonts w:ascii="Segoe UI" w:eastAsiaTheme="minorEastAsia" w:hAnsi="Segoe UI" w:cs="Segoe UI"/>
      <w:sz w:val="18"/>
      <w:szCs w:val="18"/>
    </w:rPr>
  </w:style>
  <w:style w:type="character" w:styleId="Refdecomentario">
    <w:name w:val="annotation reference"/>
    <w:basedOn w:val="Fuentedeprrafopredeter"/>
    <w:uiPriority w:val="99"/>
    <w:semiHidden/>
    <w:unhideWhenUsed/>
    <w:rsid w:val="0055760B"/>
    <w:rPr>
      <w:sz w:val="16"/>
      <w:szCs w:val="16"/>
    </w:rPr>
  </w:style>
  <w:style w:type="paragraph" w:styleId="Textocomentario">
    <w:name w:val="annotation text"/>
    <w:basedOn w:val="Normal"/>
    <w:link w:val="TextocomentarioCar"/>
    <w:uiPriority w:val="99"/>
    <w:semiHidden/>
    <w:unhideWhenUsed/>
    <w:rsid w:val="0055760B"/>
    <w:rPr>
      <w:rFonts w:asciiTheme="minorHAnsi" w:eastAsiaTheme="minorEastAsia"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55760B"/>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55760B"/>
    <w:rPr>
      <w:b/>
      <w:bCs/>
    </w:rPr>
  </w:style>
  <w:style w:type="character" w:customStyle="1" w:styleId="AsuntodelcomentarioCar">
    <w:name w:val="Asunto del comentario Car"/>
    <w:basedOn w:val="TextocomentarioCar"/>
    <w:link w:val="Asuntodelcomentario"/>
    <w:uiPriority w:val="99"/>
    <w:semiHidden/>
    <w:rsid w:val="0055760B"/>
    <w:rPr>
      <w:rFonts w:eastAsiaTheme="minorEastAsia"/>
      <w:b/>
      <w:bCs/>
      <w:sz w:val="20"/>
      <w:szCs w:val="20"/>
    </w:rPr>
  </w:style>
  <w:style w:type="character" w:customStyle="1" w:styleId="Ninguno">
    <w:name w:val="Ninguno"/>
    <w:rsid w:val="00FF2D0A"/>
    <w:rPr>
      <w:lang w:val="es-ES_tradnl"/>
    </w:rPr>
  </w:style>
  <w:style w:type="character" w:customStyle="1" w:styleId="Enlace">
    <w:name w:val="Enlace"/>
    <w:rsid w:val="00FF2D0A"/>
    <w:rPr>
      <w:color w:val="0563C1"/>
      <w:u w:val="single" w:color="0563C1"/>
    </w:rPr>
  </w:style>
  <w:style w:type="paragraph" w:styleId="Revisin">
    <w:name w:val="Revision"/>
    <w:hidden/>
    <w:uiPriority w:val="99"/>
    <w:semiHidden/>
    <w:rsid w:val="00CF45DC"/>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2873">
      <w:bodyDiv w:val="1"/>
      <w:marLeft w:val="0"/>
      <w:marRight w:val="0"/>
      <w:marTop w:val="0"/>
      <w:marBottom w:val="0"/>
      <w:divBdr>
        <w:top w:val="none" w:sz="0" w:space="0" w:color="auto"/>
        <w:left w:val="none" w:sz="0" w:space="0" w:color="auto"/>
        <w:bottom w:val="none" w:sz="0" w:space="0" w:color="auto"/>
        <w:right w:val="none" w:sz="0" w:space="0" w:color="auto"/>
      </w:divBdr>
      <w:divsChild>
        <w:div w:id="533227968">
          <w:marLeft w:val="0"/>
          <w:marRight w:val="0"/>
          <w:marTop w:val="0"/>
          <w:marBottom w:val="0"/>
          <w:divBdr>
            <w:top w:val="none" w:sz="0" w:space="0" w:color="auto"/>
            <w:left w:val="none" w:sz="0" w:space="0" w:color="auto"/>
            <w:bottom w:val="none" w:sz="0" w:space="0" w:color="auto"/>
            <w:right w:val="none" w:sz="0" w:space="0" w:color="auto"/>
          </w:divBdr>
        </w:div>
      </w:divsChild>
    </w:div>
    <w:div w:id="305163645">
      <w:bodyDiv w:val="1"/>
      <w:marLeft w:val="0"/>
      <w:marRight w:val="0"/>
      <w:marTop w:val="0"/>
      <w:marBottom w:val="0"/>
      <w:divBdr>
        <w:top w:val="none" w:sz="0" w:space="0" w:color="auto"/>
        <w:left w:val="none" w:sz="0" w:space="0" w:color="auto"/>
        <w:bottom w:val="none" w:sz="0" w:space="0" w:color="auto"/>
        <w:right w:val="none" w:sz="0" w:space="0" w:color="auto"/>
      </w:divBdr>
    </w:div>
    <w:div w:id="390692315">
      <w:bodyDiv w:val="1"/>
      <w:marLeft w:val="0"/>
      <w:marRight w:val="0"/>
      <w:marTop w:val="0"/>
      <w:marBottom w:val="0"/>
      <w:divBdr>
        <w:top w:val="none" w:sz="0" w:space="0" w:color="auto"/>
        <w:left w:val="none" w:sz="0" w:space="0" w:color="auto"/>
        <w:bottom w:val="none" w:sz="0" w:space="0" w:color="auto"/>
        <w:right w:val="none" w:sz="0" w:space="0" w:color="auto"/>
      </w:divBdr>
      <w:divsChild>
        <w:div w:id="206841232">
          <w:marLeft w:val="0"/>
          <w:marRight w:val="0"/>
          <w:marTop w:val="0"/>
          <w:marBottom w:val="0"/>
          <w:divBdr>
            <w:top w:val="none" w:sz="0" w:space="0" w:color="auto"/>
            <w:left w:val="none" w:sz="0" w:space="0" w:color="auto"/>
            <w:bottom w:val="none" w:sz="0" w:space="0" w:color="auto"/>
            <w:right w:val="none" w:sz="0" w:space="0" w:color="auto"/>
          </w:divBdr>
          <w:divsChild>
            <w:div w:id="982389878">
              <w:marLeft w:val="-231"/>
              <w:marRight w:val="-231"/>
              <w:marTop w:val="0"/>
              <w:marBottom w:val="0"/>
              <w:divBdr>
                <w:top w:val="none" w:sz="0" w:space="0" w:color="auto"/>
                <w:left w:val="none" w:sz="0" w:space="0" w:color="auto"/>
                <w:bottom w:val="none" w:sz="0" w:space="0" w:color="auto"/>
                <w:right w:val="none" w:sz="0" w:space="0" w:color="auto"/>
              </w:divBdr>
              <w:divsChild>
                <w:div w:id="2067752778">
                  <w:marLeft w:val="0"/>
                  <w:marRight w:val="0"/>
                  <w:marTop w:val="0"/>
                  <w:marBottom w:val="0"/>
                  <w:divBdr>
                    <w:top w:val="none" w:sz="0" w:space="0" w:color="auto"/>
                    <w:left w:val="none" w:sz="0" w:space="0" w:color="auto"/>
                    <w:bottom w:val="none" w:sz="0" w:space="0" w:color="auto"/>
                    <w:right w:val="none" w:sz="0" w:space="0" w:color="auto"/>
                  </w:divBdr>
                  <w:divsChild>
                    <w:div w:id="630549728">
                      <w:marLeft w:val="0"/>
                      <w:marRight w:val="0"/>
                      <w:marTop w:val="0"/>
                      <w:marBottom w:val="0"/>
                      <w:divBdr>
                        <w:top w:val="none" w:sz="0" w:space="0" w:color="auto"/>
                        <w:left w:val="none" w:sz="0" w:space="0" w:color="auto"/>
                        <w:bottom w:val="none" w:sz="0" w:space="0" w:color="auto"/>
                        <w:right w:val="none" w:sz="0" w:space="0" w:color="auto"/>
                      </w:divBdr>
                      <w:divsChild>
                        <w:div w:id="19272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721645">
      <w:bodyDiv w:val="1"/>
      <w:marLeft w:val="0"/>
      <w:marRight w:val="0"/>
      <w:marTop w:val="0"/>
      <w:marBottom w:val="0"/>
      <w:divBdr>
        <w:top w:val="none" w:sz="0" w:space="0" w:color="auto"/>
        <w:left w:val="none" w:sz="0" w:space="0" w:color="auto"/>
        <w:bottom w:val="none" w:sz="0" w:space="0" w:color="auto"/>
        <w:right w:val="none" w:sz="0" w:space="0" w:color="auto"/>
      </w:divBdr>
    </w:div>
    <w:div w:id="1060446050">
      <w:bodyDiv w:val="1"/>
      <w:marLeft w:val="0"/>
      <w:marRight w:val="0"/>
      <w:marTop w:val="0"/>
      <w:marBottom w:val="0"/>
      <w:divBdr>
        <w:top w:val="none" w:sz="0" w:space="0" w:color="auto"/>
        <w:left w:val="none" w:sz="0" w:space="0" w:color="auto"/>
        <w:bottom w:val="none" w:sz="0" w:space="0" w:color="auto"/>
        <w:right w:val="none" w:sz="0" w:space="0" w:color="auto"/>
      </w:divBdr>
    </w:div>
    <w:div w:id="1165239611">
      <w:bodyDiv w:val="1"/>
      <w:marLeft w:val="0"/>
      <w:marRight w:val="0"/>
      <w:marTop w:val="0"/>
      <w:marBottom w:val="0"/>
      <w:divBdr>
        <w:top w:val="none" w:sz="0" w:space="0" w:color="auto"/>
        <w:left w:val="none" w:sz="0" w:space="0" w:color="auto"/>
        <w:bottom w:val="none" w:sz="0" w:space="0" w:color="auto"/>
        <w:right w:val="none" w:sz="0" w:space="0" w:color="auto"/>
      </w:divBdr>
    </w:div>
    <w:div w:id="1281034553">
      <w:bodyDiv w:val="1"/>
      <w:marLeft w:val="0"/>
      <w:marRight w:val="0"/>
      <w:marTop w:val="0"/>
      <w:marBottom w:val="0"/>
      <w:divBdr>
        <w:top w:val="none" w:sz="0" w:space="0" w:color="auto"/>
        <w:left w:val="none" w:sz="0" w:space="0" w:color="auto"/>
        <w:bottom w:val="none" w:sz="0" w:space="0" w:color="auto"/>
        <w:right w:val="none" w:sz="0" w:space="0" w:color="auto"/>
      </w:divBdr>
    </w:div>
    <w:div w:id="1285961616">
      <w:bodyDiv w:val="1"/>
      <w:marLeft w:val="0"/>
      <w:marRight w:val="0"/>
      <w:marTop w:val="0"/>
      <w:marBottom w:val="0"/>
      <w:divBdr>
        <w:top w:val="none" w:sz="0" w:space="0" w:color="auto"/>
        <w:left w:val="none" w:sz="0" w:space="0" w:color="auto"/>
        <w:bottom w:val="none" w:sz="0" w:space="0" w:color="auto"/>
        <w:right w:val="none" w:sz="0" w:space="0" w:color="auto"/>
      </w:divBdr>
    </w:div>
    <w:div w:id="1714228390">
      <w:bodyDiv w:val="1"/>
      <w:marLeft w:val="0"/>
      <w:marRight w:val="0"/>
      <w:marTop w:val="0"/>
      <w:marBottom w:val="0"/>
      <w:divBdr>
        <w:top w:val="none" w:sz="0" w:space="0" w:color="auto"/>
        <w:left w:val="none" w:sz="0" w:space="0" w:color="auto"/>
        <w:bottom w:val="none" w:sz="0" w:space="0" w:color="auto"/>
        <w:right w:val="none" w:sz="0" w:space="0" w:color="auto"/>
      </w:divBdr>
    </w:div>
    <w:div w:id="1944460945">
      <w:bodyDiv w:val="1"/>
      <w:marLeft w:val="0"/>
      <w:marRight w:val="0"/>
      <w:marTop w:val="0"/>
      <w:marBottom w:val="0"/>
      <w:divBdr>
        <w:top w:val="none" w:sz="0" w:space="0" w:color="auto"/>
        <w:left w:val="none" w:sz="0" w:space="0" w:color="auto"/>
        <w:bottom w:val="none" w:sz="0" w:space="0" w:color="auto"/>
        <w:right w:val="none" w:sz="0" w:space="0" w:color="auto"/>
      </w:divBdr>
    </w:div>
    <w:div w:id="210036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7e057d-75b0-4078-9d27-c852db6f423e">
      <Terms xmlns="http://schemas.microsoft.com/office/infopath/2007/PartnerControls"/>
    </lcf76f155ced4ddcb4097134ff3c332f>
    <TaxCatchAll xmlns="8d546f99-15f4-419e-a146-115ee41a83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E2C221088F0AA4AB5D81933F5F342CA" ma:contentTypeVersion="14" ma:contentTypeDescription="Crear nuevo documento." ma:contentTypeScope="" ma:versionID="58e40367694abe86a8a1bc779e339eca">
  <xsd:schema xmlns:xsd="http://www.w3.org/2001/XMLSchema" xmlns:xs="http://www.w3.org/2001/XMLSchema" xmlns:p="http://schemas.microsoft.com/office/2006/metadata/properties" xmlns:ns2="8d546f99-15f4-419e-a146-115ee41a83f5" xmlns:ns3="177e057d-75b0-4078-9d27-c852db6f423e" targetNamespace="http://schemas.microsoft.com/office/2006/metadata/properties" ma:root="true" ma:fieldsID="cb47fdc05d5ec8985e555b478c69e5e3" ns2:_="" ns3:_="">
    <xsd:import namespace="8d546f99-15f4-419e-a146-115ee41a83f5"/>
    <xsd:import namespace="177e057d-75b0-4078-9d27-c852db6f423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46f99-15f4-419e-a146-115ee41a83f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2" nillable="true" ma:displayName="Taxonomy Catch All Column" ma:hidden="true" ma:list="{9ff574c6-6d7e-4789-9cf5-d35a4ce531b9}" ma:internalName="TaxCatchAll" ma:showField="CatchAllData" ma:web="8d546f99-15f4-419e-a146-115ee41a8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e057d-75b0-4078-9d27-c852db6f423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33cdd541-4da5-4186-a57e-053908931685"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7C894-9816-4D7E-9297-FFD3F1697E38}">
  <ds:schemaRefs>
    <ds:schemaRef ds:uri="http://schemas.microsoft.com/sharepoint/v3/contenttype/forms"/>
  </ds:schemaRefs>
</ds:datastoreItem>
</file>

<file path=customXml/itemProps2.xml><?xml version="1.0" encoding="utf-8"?>
<ds:datastoreItem xmlns:ds="http://schemas.openxmlformats.org/officeDocument/2006/customXml" ds:itemID="{2A605E57-C20A-4BD4-B0EA-858482FAEC54}">
  <ds:schemaRefs>
    <ds:schemaRef ds:uri="http://schemas.microsoft.com/office/2006/metadata/properties"/>
    <ds:schemaRef ds:uri="http://schemas.microsoft.com/office/infopath/2007/PartnerControls"/>
    <ds:schemaRef ds:uri="177e057d-75b0-4078-9d27-c852db6f423e"/>
    <ds:schemaRef ds:uri="8d546f99-15f4-419e-a146-115ee41a83f5"/>
  </ds:schemaRefs>
</ds:datastoreItem>
</file>

<file path=customXml/itemProps3.xml><?xml version="1.0" encoding="utf-8"?>
<ds:datastoreItem xmlns:ds="http://schemas.openxmlformats.org/officeDocument/2006/customXml" ds:itemID="{9590BCB8-3907-4015-8674-32848A5065D9}">
  <ds:schemaRefs>
    <ds:schemaRef ds:uri="http://schemas.openxmlformats.org/officeDocument/2006/bibliography"/>
  </ds:schemaRefs>
</ds:datastoreItem>
</file>

<file path=customXml/itemProps4.xml><?xml version="1.0" encoding="utf-8"?>
<ds:datastoreItem xmlns:ds="http://schemas.openxmlformats.org/officeDocument/2006/customXml" ds:itemID="{BE374454-D8C7-43F2-84DC-1375D80FD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46f99-15f4-419e-a146-115ee41a83f5"/>
    <ds:schemaRef ds:uri="177e057d-75b0-4078-9d27-c852db6f4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Goycoolea E.</dc:creator>
  <cp:keywords/>
  <dc:description/>
  <cp:lastModifiedBy>Valeria Alejandra Araya Valdés</cp:lastModifiedBy>
  <cp:revision>4</cp:revision>
  <cp:lastPrinted>2023-08-22T17:50:00Z</cp:lastPrinted>
  <dcterms:created xsi:type="dcterms:W3CDTF">2026-07-19T21:34:00Z</dcterms:created>
  <dcterms:modified xsi:type="dcterms:W3CDTF">2026-07-19T21:44:00Z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0x010100DE2C221088F0AA4AB5D81933F5F342CA</vt:lpwstr>
  </property>
</Properties>
</file>